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2B5" w:rsidRPr="00FC4604" w:rsidRDefault="00B962B5" w:rsidP="00C81E3C">
      <w:pPr>
        <w:widowControl w:val="0"/>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Benjamin BLOOM, dans son livre «  Taxonomie des objectifs pédagogiques », Editions Nouvelles, MONTREAL, 1969, a proposé une classification des différentes compétences pédagogiques qui peuvent être évaluées chez un élève.</w:t>
      </w:r>
    </w:p>
    <w:p w:rsidR="00B962B5" w:rsidRPr="00FC4604" w:rsidRDefault="00B962B5" w:rsidP="00C81E3C">
      <w:pPr>
        <w:widowControl w:val="0"/>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Cette taxonomie a été élaborée conjointement par une équipe formée d’enseignants, de psychologues cognitifs et d’étudiants en docimologie, après plusieurs années d’observation et de réflexion.</w:t>
      </w:r>
    </w:p>
    <w:p w:rsidR="00B962B5" w:rsidRPr="00FC4604" w:rsidRDefault="00B962B5" w:rsidP="00C81E3C">
      <w:pPr>
        <w:widowControl w:val="0"/>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Ces catégories sont hiérarchisées de la situation la moins complexe à la situation la plus complexe à acquérir et à évaluer.</w:t>
      </w:r>
    </w:p>
    <w:p w:rsidR="00B962B5" w:rsidRPr="00FC4604" w:rsidRDefault="00B962B5" w:rsidP="00C81E3C">
      <w:pPr>
        <w:pStyle w:val="Sansinterligne"/>
        <w:jc w:val="both"/>
        <w:rPr>
          <w:rFonts w:ascii="Century Schoolbook" w:hAnsi="Century Schoolbook"/>
          <w:b/>
        </w:rPr>
      </w:pPr>
      <w:r w:rsidRPr="00FC4604">
        <w:rPr>
          <w:rFonts w:ascii="Century Schoolbook" w:hAnsi="Century Schoolbook"/>
          <w:b/>
        </w:rPr>
        <w:t xml:space="preserve">En complément : </w:t>
      </w:r>
    </w:p>
    <w:p w:rsidR="00B962B5" w:rsidRPr="00FC4604" w:rsidRDefault="00B962B5" w:rsidP="00C81E3C">
      <w:pPr>
        <w:pStyle w:val="Sansinterligne"/>
        <w:jc w:val="both"/>
        <w:rPr>
          <w:rFonts w:ascii="Century Schoolbook" w:hAnsi="Century Schoolbook"/>
          <w:b/>
        </w:rPr>
      </w:pPr>
      <w:r w:rsidRPr="00FC4604">
        <w:rPr>
          <w:rFonts w:ascii="Century Schoolbook" w:hAnsi="Century Schoolbook"/>
          <w:b/>
        </w:rPr>
        <w:t>Une carte mentale présentant les travaux de BLOOM</w:t>
      </w:r>
    </w:p>
    <w:p w:rsidR="00B962B5" w:rsidRPr="00FC4604" w:rsidRDefault="00B962B5" w:rsidP="00C81E3C">
      <w:pPr>
        <w:pStyle w:val="Sansinterligne"/>
        <w:jc w:val="both"/>
        <w:rPr>
          <w:rFonts w:ascii="Century Schoolbook" w:hAnsi="Century Schoolbook"/>
        </w:rPr>
      </w:pPr>
      <w:r w:rsidRPr="00FC4604">
        <w:rPr>
          <w:rFonts w:ascii="Century Schoolbook" w:hAnsi="Century Schoolbook"/>
        </w:rPr>
        <w:t xml:space="preserve">Elle est composée de 3 branches principales, la 1ère qui fait référence à l’apprentissage cognitif est composée de 6 niveaux de classification, chacun des niveaux sont constitués de verbes d’action ainsi que d’exemples d’application. </w:t>
      </w:r>
      <w:proofErr w:type="gramStart"/>
      <w:r w:rsidRPr="00FC4604">
        <w:rPr>
          <w:rFonts w:ascii="Century Schoolbook" w:hAnsi="Century Schoolbook"/>
        </w:rPr>
        <w:t>La</w:t>
      </w:r>
      <w:proofErr w:type="gramEnd"/>
      <w:r w:rsidRPr="00FC4604">
        <w:rPr>
          <w:rFonts w:ascii="Century Schoolbook" w:hAnsi="Century Schoolbook"/>
        </w:rPr>
        <w:t xml:space="preserve"> deuxième fait état de l’apprentissage affectif et la 3</w:t>
      </w:r>
      <w:r w:rsidRPr="00FC4604">
        <w:rPr>
          <w:rFonts w:ascii="Century Schoolbook" w:hAnsi="Century Schoolbook"/>
          <w:vertAlign w:val="superscript"/>
        </w:rPr>
        <w:t>ème</w:t>
      </w:r>
      <w:r w:rsidRPr="00FC4604">
        <w:rPr>
          <w:rFonts w:ascii="Century Schoolbook" w:hAnsi="Century Schoolbook"/>
        </w:rPr>
        <w:t xml:space="preserve"> un lien ressource sur l’auteur de la taxonomie Benjamin Bloom.</w:t>
      </w:r>
    </w:p>
    <w:p w:rsidR="00B962B5" w:rsidRPr="00FC4604" w:rsidRDefault="003F005A" w:rsidP="00C81E3C">
      <w:pPr>
        <w:jc w:val="both"/>
        <w:rPr>
          <w:rFonts w:ascii="Century Schoolbook" w:hAnsi="Century Schoolbook"/>
        </w:rPr>
      </w:pPr>
      <w:hyperlink r:id="rId7" w:history="1">
        <w:r w:rsidR="00B962B5" w:rsidRPr="00FC4604">
          <w:rPr>
            <w:rStyle w:val="Lienhypertexte"/>
            <w:rFonts w:ascii="Century Schoolbook" w:hAnsi="Century Schoolbook"/>
          </w:rPr>
          <w:t>https://www.mindmeister.com/fr/184403956/la-taxonomie-des-objectifs-p-dagogiques</w:t>
        </w:r>
      </w:hyperlink>
    </w:p>
    <w:p w:rsidR="00B962B5" w:rsidRPr="00FC4604" w:rsidRDefault="00B962B5" w:rsidP="00C81E3C">
      <w:pPr>
        <w:widowControl w:val="0"/>
        <w:autoSpaceDE w:val="0"/>
        <w:autoSpaceDN w:val="0"/>
        <w:adjustRightInd w:val="0"/>
        <w:spacing w:after="0" w:line="240" w:lineRule="auto"/>
        <w:jc w:val="both"/>
        <w:rPr>
          <w:rFonts w:ascii="Century Schoolbook" w:hAnsi="Century Schoolbook"/>
        </w:rPr>
      </w:pPr>
      <w:r w:rsidRPr="00FC4604">
        <w:rPr>
          <w:rFonts w:ascii="Century Schoolbook" w:hAnsi="Century Schoolbook"/>
        </w:rPr>
        <w:t>Un regard plus synthétique sur les travaux de BLOOM :</w:t>
      </w:r>
    </w:p>
    <w:p w:rsidR="00B962B5" w:rsidRPr="00FC4604" w:rsidRDefault="003F005A" w:rsidP="00C81E3C">
      <w:pPr>
        <w:widowControl w:val="0"/>
        <w:autoSpaceDE w:val="0"/>
        <w:autoSpaceDN w:val="0"/>
        <w:adjustRightInd w:val="0"/>
        <w:spacing w:after="0" w:line="240" w:lineRule="auto"/>
        <w:jc w:val="both"/>
        <w:rPr>
          <w:rFonts w:ascii="Century Schoolbook" w:hAnsi="Century Schoolbook"/>
        </w:rPr>
      </w:pPr>
      <w:hyperlink r:id="rId8" w:history="1">
        <w:r w:rsidR="00B962B5" w:rsidRPr="00FC4604">
          <w:rPr>
            <w:rStyle w:val="Lienhypertexte"/>
            <w:rFonts w:ascii="Century Schoolbook" w:hAnsi="Century Schoolbook"/>
          </w:rPr>
          <w:t>http://www.elearning-symetrix.fr/blog/?post/2008/01/21/La-taxonomie-de-Bloom</w:t>
        </w:r>
      </w:hyperlink>
    </w:p>
    <w:p w:rsidR="007E6BED" w:rsidRPr="00FC4604" w:rsidRDefault="007E6BED" w:rsidP="00C81E3C">
      <w:pPr>
        <w:jc w:val="both"/>
        <w:rPr>
          <w:rFonts w:ascii="Century Schoolbook" w:hAnsi="Century Schoolbook"/>
        </w:rPr>
      </w:pPr>
    </w:p>
    <w:p w:rsidR="00B962B5" w:rsidRPr="00FC4604" w:rsidRDefault="00B962B5" w:rsidP="00C81E3C">
      <w:pPr>
        <w:jc w:val="both"/>
        <w:rPr>
          <w:rFonts w:ascii="Century Schoolbook" w:hAnsi="Century Schoolbook"/>
        </w:rPr>
      </w:pPr>
      <w:r w:rsidRPr="00FC4604">
        <w:rPr>
          <w:rFonts w:ascii="Century Schoolbook" w:hAnsi="Century Schoolbook"/>
        </w:rPr>
        <w:t>La classification présentée de l’opération la plus simple à la plus complexe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118"/>
        <w:gridCol w:w="5529"/>
        <w:gridCol w:w="3118"/>
      </w:tblGrid>
      <w:tr w:rsidR="00B962B5" w:rsidRPr="00FC4604" w:rsidTr="00933B78">
        <w:tc>
          <w:tcPr>
            <w:tcW w:w="5211" w:type="dxa"/>
            <w:gridSpan w:val="2"/>
          </w:tcPr>
          <w:p w:rsidR="00B962B5" w:rsidRPr="00FC4604" w:rsidRDefault="00B962B5" w:rsidP="00C81E3C">
            <w:pPr>
              <w:widowControl w:val="0"/>
              <w:autoSpaceDE w:val="0"/>
              <w:autoSpaceDN w:val="0"/>
              <w:adjustRightInd w:val="0"/>
              <w:spacing w:after="0" w:line="240" w:lineRule="auto"/>
              <w:jc w:val="both"/>
              <w:rPr>
                <w:rFonts w:ascii="Century Schoolbook" w:hAnsi="Century Schoolbook"/>
                <w:b/>
                <w:bCs/>
                <w:color w:val="000000"/>
              </w:rPr>
            </w:pPr>
            <w:r w:rsidRPr="00FC4604">
              <w:rPr>
                <w:rFonts w:ascii="Century Schoolbook" w:hAnsi="Century Schoolbook"/>
                <w:b/>
                <w:bCs/>
                <w:color w:val="000000"/>
              </w:rPr>
              <w:t>Niveau</w:t>
            </w:r>
            <w:r w:rsidR="00EF42E6" w:rsidRPr="00FC4604">
              <w:rPr>
                <w:rFonts w:ascii="Century Schoolbook" w:hAnsi="Century Schoolbook"/>
                <w:b/>
                <w:bCs/>
                <w:color w:val="000000"/>
              </w:rPr>
              <w:t>x</w:t>
            </w:r>
          </w:p>
          <w:p w:rsidR="00B962B5" w:rsidRPr="00FC4604" w:rsidRDefault="00B962B5" w:rsidP="00C81E3C">
            <w:pPr>
              <w:widowControl w:val="0"/>
              <w:autoSpaceDE w:val="0"/>
              <w:autoSpaceDN w:val="0"/>
              <w:adjustRightInd w:val="0"/>
              <w:spacing w:after="0" w:line="240" w:lineRule="auto"/>
              <w:jc w:val="both"/>
              <w:rPr>
                <w:rFonts w:ascii="Century Schoolbook" w:hAnsi="Century Schoolbook"/>
              </w:rPr>
            </w:pPr>
          </w:p>
        </w:tc>
        <w:tc>
          <w:tcPr>
            <w:tcW w:w="5529" w:type="dxa"/>
          </w:tcPr>
          <w:p w:rsidR="00B962B5" w:rsidRPr="00FC4604" w:rsidRDefault="00B962B5" w:rsidP="00C81E3C">
            <w:pPr>
              <w:autoSpaceDE w:val="0"/>
              <w:autoSpaceDN w:val="0"/>
              <w:adjustRightInd w:val="0"/>
              <w:spacing w:after="0" w:line="240" w:lineRule="auto"/>
              <w:jc w:val="both"/>
              <w:rPr>
                <w:rFonts w:ascii="Century Schoolbook" w:hAnsi="Century Schoolbook"/>
                <w:b/>
                <w:bCs/>
                <w:color w:val="000000"/>
              </w:rPr>
            </w:pPr>
            <w:r w:rsidRPr="00FC4604">
              <w:rPr>
                <w:rFonts w:ascii="Century Schoolbook" w:hAnsi="Century Schoolbook"/>
                <w:b/>
                <w:bCs/>
                <w:color w:val="000000"/>
              </w:rPr>
              <w:t>Type</w:t>
            </w:r>
            <w:r w:rsidR="00EF42E6" w:rsidRPr="00FC4604">
              <w:rPr>
                <w:rFonts w:ascii="Century Schoolbook" w:hAnsi="Century Schoolbook"/>
                <w:b/>
                <w:bCs/>
                <w:color w:val="000000"/>
              </w:rPr>
              <w:t>s</w:t>
            </w:r>
            <w:r w:rsidRPr="00FC4604">
              <w:rPr>
                <w:rFonts w:ascii="Century Schoolbook" w:hAnsi="Century Schoolbook"/>
                <w:b/>
                <w:bCs/>
                <w:color w:val="000000"/>
              </w:rPr>
              <w:t xml:space="preserve"> de </w:t>
            </w:r>
          </w:p>
          <w:p w:rsidR="00B962B5" w:rsidRPr="00FC4604" w:rsidRDefault="00B962B5" w:rsidP="00C81E3C">
            <w:pPr>
              <w:autoSpaceDE w:val="0"/>
              <w:autoSpaceDN w:val="0"/>
              <w:adjustRightInd w:val="0"/>
              <w:spacing w:after="0" w:line="240" w:lineRule="auto"/>
              <w:jc w:val="both"/>
              <w:rPr>
                <w:rFonts w:ascii="Century Schoolbook" w:hAnsi="Century Schoolbook"/>
              </w:rPr>
            </w:pPr>
            <w:r w:rsidRPr="00FC4604">
              <w:rPr>
                <w:rFonts w:ascii="Century Schoolbook" w:hAnsi="Century Schoolbook"/>
                <w:b/>
                <w:bCs/>
                <w:color w:val="000000"/>
              </w:rPr>
              <w:t>comportements</w:t>
            </w:r>
          </w:p>
        </w:tc>
        <w:tc>
          <w:tcPr>
            <w:tcW w:w="3118" w:type="dxa"/>
          </w:tcPr>
          <w:p w:rsidR="00B962B5" w:rsidRPr="00FC4604" w:rsidRDefault="00B962B5" w:rsidP="00C81E3C">
            <w:pPr>
              <w:widowControl w:val="0"/>
              <w:autoSpaceDE w:val="0"/>
              <w:autoSpaceDN w:val="0"/>
              <w:adjustRightInd w:val="0"/>
              <w:spacing w:after="0" w:line="240" w:lineRule="auto"/>
              <w:jc w:val="both"/>
              <w:rPr>
                <w:rFonts w:ascii="Century Schoolbook" w:hAnsi="Century Schoolbook"/>
              </w:rPr>
            </w:pPr>
            <w:r w:rsidRPr="00FC4604">
              <w:rPr>
                <w:rFonts w:ascii="Century Schoolbook" w:hAnsi="Century Schoolbook"/>
                <w:b/>
                <w:bCs/>
                <w:color w:val="000000"/>
              </w:rPr>
              <w:t>Verbes d’action</w:t>
            </w:r>
          </w:p>
        </w:tc>
      </w:tr>
      <w:tr w:rsidR="00B962B5" w:rsidRPr="00FC4604" w:rsidTr="00933B78">
        <w:tc>
          <w:tcPr>
            <w:tcW w:w="2093" w:type="dxa"/>
          </w:tcPr>
          <w:p w:rsidR="00B962B5" w:rsidRPr="00FC4604" w:rsidRDefault="00B962B5" w:rsidP="00C81E3C">
            <w:pPr>
              <w:autoSpaceDE w:val="0"/>
              <w:autoSpaceDN w:val="0"/>
              <w:adjustRightInd w:val="0"/>
              <w:spacing w:after="0" w:line="240" w:lineRule="auto"/>
              <w:jc w:val="both"/>
              <w:rPr>
                <w:rFonts w:ascii="Century Schoolbook" w:hAnsi="Century Schoolbook"/>
                <w:b/>
                <w:bCs/>
                <w:color w:val="000000"/>
              </w:rPr>
            </w:pPr>
            <w:r w:rsidRPr="00FC4604">
              <w:rPr>
                <w:rFonts w:ascii="Century Schoolbook" w:hAnsi="Century Schoolbook"/>
                <w:b/>
                <w:bCs/>
                <w:color w:val="000000"/>
              </w:rPr>
              <w:t>Mémorisation</w:t>
            </w:r>
          </w:p>
          <w:p w:rsidR="00B962B5" w:rsidRPr="00FC4604" w:rsidRDefault="00B962B5" w:rsidP="00C81E3C">
            <w:pPr>
              <w:autoSpaceDE w:val="0"/>
              <w:autoSpaceDN w:val="0"/>
              <w:adjustRightInd w:val="0"/>
              <w:spacing w:after="0" w:line="240" w:lineRule="auto"/>
              <w:jc w:val="both"/>
              <w:rPr>
                <w:rFonts w:ascii="Century Schoolbook" w:hAnsi="Century Schoolbook"/>
                <w:b/>
                <w:bCs/>
                <w:color w:val="000000"/>
              </w:rPr>
            </w:pPr>
          </w:p>
        </w:tc>
        <w:tc>
          <w:tcPr>
            <w:tcW w:w="3118" w:type="dxa"/>
          </w:tcPr>
          <w:p w:rsidR="00B962B5" w:rsidRPr="00FC4604" w:rsidRDefault="00B962B5" w:rsidP="00C81E3C">
            <w:pPr>
              <w:widowControl w:val="0"/>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 xml:space="preserve">Vise à faire acquérir de nouvelles connaissances aux étudiants. Met l’accent sur la rétention d’informations nouvelles : termes, définitions, faits, formules, méthodes, classifications, principes, lois, etc. Lors de la </w:t>
            </w:r>
            <w:r w:rsidRPr="00FC4604">
              <w:rPr>
                <w:rFonts w:ascii="Century Schoolbook" w:hAnsi="Century Schoolbook"/>
                <w:b/>
                <w:color w:val="000000"/>
              </w:rPr>
              <w:t>phase d'acquisition</w:t>
            </w:r>
            <w:r w:rsidRPr="00FC4604">
              <w:rPr>
                <w:rFonts w:ascii="Century Schoolbook" w:hAnsi="Century Schoolbook"/>
                <w:color w:val="000000"/>
              </w:rPr>
              <w:t xml:space="preserve"> des connaissances on attend de l'élève qu'il mémorise un certain nombre de données.</w:t>
            </w:r>
          </w:p>
          <w:p w:rsidR="00CE7CCC" w:rsidRDefault="00CE7CCC" w:rsidP="00C81E3C">
            <w:pPr>
              <w:widowControl w:val="0"/>
              <w:autoSpaceDE w:val="0"/>
              <w:autoSpaceDN w:val="0"/>
              <w:adjustRightInd w:val="0"/>
              <w:spacing w:after="0" w:line="240" w:lineRule="auto"/>
              <w:jc w:val="both"/>
              <w:rPr>
                <w:rFonts w:ascii="Century Schoolbook" w:hAnsi="Century Schoolbook"/>
                <w:color w:val="000000"/>
              </w:rPr>
            </w:pPr>
          </w:p>
          <w:p w:rsidR="00D24005" w:rsidRPr="00FC4604" w:rsidRDefault="00D24005" w:rsidP="00C81E3C">
            <w:pPr>
              <w:widowControl w:val="0"/>
              <w:autoSpaceDE w:val="0"/>
              <w:autoSpaceDN w:val="0"/>
              <w:adjustRightInd w:val="0"/>
              <w:spacing w:after="0" w:line="240" w:lineRule="auto"/>
              <w:jc w:val="both"/>
              <w:rPr>
                <w:rFonts w:ascii="Century Schoolbook" w:hAnsi="Century Schoolbook"/>
                <w:color w:val="000000"/>
              </w:rPr>
            </w:pPr>
          </w:p>
          <w:p w:rsidR="00B962B5" w:rsidRPr="00FC4604" w:rsidRDefault="00B962B5" w:rsidP="00C81E3C">
            <w:pPr>
              <w:widowControl w:val="0"/>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lastRenderedPageBreak/>
              <w:t xml:space="preserve">Lors du </w:t>
            </w:r>
            <w:r w:rsidRPr="00FC4604">
              <w:rPr>
                <w:rFonts w:ascii="Century Schoolbook" w:hAnsi="Century Schoolbook"/>
                <w:b/>
                <w:color w:val="000000"/>
              </w:rPr>
              <w:t>rappel des connaissances</w:t>
            </w:r>
            <w:r w:rsidRPr="00FC4604">
              <w:rPr>
                <w:rFonts w:ascii="Century Schoolbook" w:hAnsi="Century Schoolbook"/>
                <w:color w:val="000000"/>
              </w:rPr>
              <w:t xml:space="preserve">, on attend de l'élève qu'il puisse les retrouver (se les remémorer). </w:t>
            </w:r>
          </w:p>
          <w:p w:rsidR="00B962B5" w:rsidRPr="00FC4604" w:rsidRDefault="00B962B5" w:rsidP="00C81E3C">
            <w:pPr>
              <w:autoSpaceDE w:val="0"/>
              <w:autoSpaceDN w:val="0"/>
              <w:adjustRightInd w:val="0"/>
              <w:spacing w:after="0" w:line="240" w:lineRule="auto"/>
              <w:jc w:val="both"/>
              <w:rPr>
                <w:rFonts w:ascii="Century Schoolbook" w:hAnsi="Century Schoolbook"/>
              </w:rPr>
            </w:pPr>
          </w:p>
        </w:tc>
        <w:tc>
          <w:tcPr>
            <w:tcW w:w="5529" w:type="dxa"/>
          </w:tcPr>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lastRenderedPageBreak/>
              <w:t>Etre capable de se rappeler de mots, de faits, de dates, de conventions, de classifications, de principes, de théories, etc.</w:t>
            </w:r>
          </w:p>
          <w:p w:rsidR="00B962B5" w:rsidRPr="00FC4604" w:rsidRDefault="00B962B5" w:rsidP="00C81E3C">
            <w:pPr>
              <w:autoSpaceDE w:val="0"/>
              <w:autoSpaceDN w:val="0"/>
              <w:adjustRightInd w:val="0"/>
              <w:spacing w:after="0" w:line="240" w:lineRule="auto"/>
              <w:jc w:val="both"/>
              <w:rPr>
                <w:rFonts w:ascii="Century Schoolbook" w:hAnsi="Century Schoolbook"/>
                <w:b/>
                <w:bCs/>
                <w:color w:val="000000"/>
              </w:rPr>
            </w:pPr>
            <w:r w:rsidRPr="00FC4604">
              <w:rPr>
                <w:rFonts w:ascii="Century Schoolbook" w:hAnsi="Century Schoolbook"/>
                <w:color w:val="000000"/>
              </w:rPr>
              <w:t xml:space="preserve">Le comportement de rappel n'exige guère plus que de faire resurgir les matériaux emmagasinés dans la mémoire ; le </w:t>
            </w:r>
            <w:r w:rsidRPr="00FC4604">
              <w:rPr>
                <w:rFonts w:ascii="Century Schoolbook" w:hAnsi="Century Schoolbook"/>
                <w:b/>
                <w:color w:val="000000"/>
              </w:rPr>
              <w:t>processus d'association fait également partie de cette catégorie</w:t>
            </w:r>
            <w:r w:rsidRPr="00FC4604">
              <w:rPr>
                <w:rFonts w:ascii="Century Schoolbook" w:hAnsi="Century Schoolbook"/>
                <w:color w:val="000000"/>
              </w:rPr>
              <w:t xml:space="preserve"> (il faut parfois procéder à une réorganisation du problème posé pour que l’élève puisse retrouver des signaux et des repères correspondant au niveau de ses connaissances)</w:t>
            </w:r>
          </w:p>
        </w:tc>
        <w:tc>
          <w:tcPr>
            <w:tcW w:w="3118" w:type="dxa"/>
          </w:tcPr>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 xml:space="preserve">Définir – Etablir – Enumérer – Nommer – Rédiger – </w:t>
            </w:r>
            <w:proofErr w:type="gramStart"/>
            <w:r w:rsidRPr="00FC4604">
              <w:rPr>
                <w:rFonts w:ascii="Century Schoolbook" w:hAnsi="Century Schoolbook"/>
                <w:color w:val="000000"/>
              </w:rPr>
              <w:t>Rappeler .</w:t>
            </w:r>
            <w:proofErr w:type="gramEnd"/>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Reconnaître – Identifier – Souligner – Choisir – Reproduire - Mesurer</w:t>
            </w:r>
          </w:p>
          <w:p w:rsidR="00B962B5" w:rsidRPr="00FC4604" w:rsidRDefault="00B962B5" w:rsidP="00C81E3C">
            <w:pPr>
              <w:widowControl w:val="0"/>
              <w:autoSpaceDE w:val="0"/>
              <w:autoSpaceDN w:val="0"/>
              <w:adjustRightInd w:val="0"/>
              <w:spacing w:after="0" w:line="240" w:lineRule="auto"/>
              <w:jc w:val="both"/>
              <w:rPr>
                <w:rFonts w:ascii="Century Schoolbook" w:hAnsi="Century Schoolbook"/>
                <w:b/>
                <w:bCs/>
                <w:color w:val="000000"/>
              </w:rPr>
            </w:pPr>
          </w:p>
        </w:tc>
      </w:tr>
      <w:tr w:rsidR="00B962B5" w:rsidRPr="00FC4604" w:rsidTr="00933B78">
        <w:tc>
          <w:tcPr>
            <w:tcW w:w="2093" w:type="dxa"/>
          </w:tcPr>
          <w:p w:rsidR="00B962B5" w:rsidRPr="00FC4604" w:rsidRDefault="00B962B5" w:rsidP="00C81E3C">
            <w:pPr>
              <w:autoSpaceDE w:val="0"/>
              <w:autoSpaceDN w:val="0"/>
              <w:adjustRightInd w:val="0"/>
              <w:spacing w:after="0" w:line="240" w:lineRule="auto"/>
              <w:jc w:val="both"/>
              <w:rPr>
                <w:rFonts w:ascii="Century Schoolbook" w:hAnsi="Century Schoolbook"/>
                <w:b/>
                <w:bCs/>
                <w:color w:val="000000"/>
              </w:rPr>
            </w:pPr>
            <w:r w:rsidRPr="00FC4604">
              <w:rPr>
                <w:rFonts w:ascii="Century Schoolbook" w:hAnsi="Century Schoolbook"/>
                <w:b/>
                <w:bCs/>
                <w:color w:val="000000"/>
              </w:rPr>
              <w:lastRenderedPageBreak/>
              <w:t>Compréhension</w:t>
            </w:r>
          </w:p>
          <w:p w:rsidR="00B962B5" w:rsidRPr="00FC4604" w:rsidRDefault="00B962B5" w:rsidP="00C81E3C">
            <w:pPr>
              <w:autoSpaceDE w:val="0"/>
              <w:autoSpaceDN w:val="0"/>
              <w:adjustRightInd w:val="0"/>
              <w:spacing w:after="0" w:line="240" w:lineRule="auto"/>
              <w:jc w:val="both"/>
              <w:rPr>
                <w:rFonts w:ascii="Century Schoolbook" w:hAnsi="Century Schoolbook"/>
                <w:b/>
                <w:bCs/>
                <w:color w:val="000000"/>
              </w:rPr>
            </w:pPr>
          </w:p>
        </w:tc>
        <w:tc>
          <w:tcPr>
            <w:tcW w:w="3118" w:type="dxa"/>
          </w:tcPr>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Amène les étudiants au-delà de la simple mémorisation d’information. Retenir une information ne signifie pas pour autant la comprendre. La compréhension suppose de pouvoir transposer l’information, de l’interpréter voir même d’extrapoler à partir d’elle.</w:t>
            </w:r>
          </w:p>
          <w:p w:rsidR="00B962B5" w:rsidRPr="00FC4604" w:rsidRDefault="00B962B5" w:rsidP="00C81E3C">
            <w:pPr>
              <w:autoSpaceDE w:val="0"/>
              <w:autoSpaceDN w:val="0"/>
              <w:adjustRightInd w:val="0"/>
              <w:spacing w:after="0" w:line="240" w:lineRule="auto"/>
              <w:jc w:val="both"/>
              <w:rPr>
                <w:rFonts w:ascii="Century Schoolbook" w:hAnsi="Century Schoolbook"/>
              </w:rPr>
            </w:pPr>
          </w:p>
        </w:tc>
        <w:tc>
          <w:tcPr>
            <w:tcW w:w="5529" w:type="dxa"/>
          </w:tcPr>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Etre capable de transposer, de formuler une explication dans ses propres mots, d’interpréter et d’extrapoler à partir de certaines connaissances.</w:t>
            </w:r>
          </w:p>
          <w:p w:rsidR="00B962B5" w:rsidRPr="00FC4604" w:rsidRDefault="00B962B5" w:rsidP="00C81E3C">
            <w:pPr>
              <w:widowControl w:val="0"/>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b/>
                <w:color w:val="000000"/>
              </w:rPr>
              <w:t xml:space="preserve">Transposer </w:t>
            </w:r>
            <w:r w:rsidRPr="00FC4604">
              <w:rPr>
                <w:rFonts w:ascii="Century Schoolbook" w:hAnsi="Century Schoolbook"/>
                <w:color w:val="000000"/>
              </w:rPr>
              <w:t>consiste à dire, traduire dans une autre langue, dans d'autres termes ou sous une autre forme, la communication.</w:t>
            </w:r>
          </w:p>
          <w:p w:rsidR="00B962B5" w:rsidRPr="00FC4604" w:rsidRDefault="00B962B5" w:rsidP="00C81E3C">
            <w:pPr>
              <w:widowControl w:val="0"/>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Les critères de la transposition sont la fidélité et la précision avec lesquelles le fond d'une communication a été préservé même lorsque sa forme a été modifiée.</w:t>
            </w:r>
          </w:p>
          <w:p w:rsidR="00B962B5" w:rsidRPr="00FC4604" w:rsidRDefault="00B962B5" w:rsidP="00C81E3C">
            <w:pPr>
              <w:widowControl w:val="0"/>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b/>
                <w:color w:val="000000"/>
              </w:rPr>
              <w:t>Interpréter</w:t>
            </w:r>
            <w:r w:rsidRPr="00FC4604">
              <w:rPr>
                <w:rFonts w:ascii="Century Schoolbook" w:hAnsi="Century Schoolbook"/>
                <w:color w:val="000000"/>
              </w:rPr>
              <w:t xml:space="preserve"> consiste à expliquer ou résumer une communication, c'est à dire concevoir la communication comme un ensemble d’idées que l'élève devra peut-être, pour en saisir la signification, remettre dans un ordre différent.</w:t>
            </w:r>
          </w:p>
          <w:p w:rsidR="00B962B5" w:rsidRPr="00FC4604" w:rsidRDefault="00B962B5" w:rsidP="00C81E3C">
            <w:pPr>
              <w:widowControl w:val="0"/>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Cette opération implique dans le même temps la réflexion sur l'importance relative des idées, la perception des liens qui les unissent, et celle de leur rapport aux généralisations contenues dans la communication originale.</w:t>
            </w:r>
          </w:p>
          <w:p w:rsidR="00B962B5"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b/>
                <w:color w:val="000000"/>
              </w:rPr>
              <w:t>Extrapoler,</w:t>
            </w:r>
            <w:r w:rsidRPr="00FC4604">
              <w:rPr>
                <w:rFonts w:ascii="Century Schoolbook" w:hAnsi="Century Schoolbook"/>
                <w:color w:val="000000"/>
              </w:rPr>
              <w:t xml:space="preserve"> celle-ci peut consister en l'extension des jugements du particulier au général ou en l'extension des jugements du général au particulier. Elle peut comporter aussi la détermination des implications, conséquences, corollaires et résultats circulant des données contenues dans la communication.</w:t>
            </w:r>
          </w:p>
          <w:p w:rsidR="00933B78" w:rsidRPr="00FC4604" w:rsidRDefault="00933B78" w:rsidP="00C81E3C">
            <w:pPr>
              <w:autoSpaceDE w:val="0"/>
              <w:autoSpaceDN w:val="0"/>
              <w:adjustRightInd w:val="0"/>
              <w:spacing w:after="0" w:line="240" w:lineRule="auto"/>
              <w:jc w:val="both"/>
              <w:rPr>
                <w:rFonts w:ascii="Century Schoolbook" w:hAnsi="Century Schoolbook"/>
                <w:b/>
                <w:bCs/>
                <w:color w:val="000000"/>
              </w:rPr>
            </w:pPr>
          </w:p>
        </w:tc>
        <w:tc>
          <w:tcPr>
            <w:tcW w:w="3118" w:type="dxa"/>
          </w:tcPr>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Identifier – Illustrer – Expliquer - Justifier - Représenter – Juger -</w:t>
            </w:r>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Choisir – Nommer – Opposer -Indiquer - Formuler - Classer</w:t>
            </w:r>
          </w:p>
          <w:p w:rsidR="00B962B5" w:rsidRPr="00FC4604" w:rsidRDefault="00B962B5" w:rsidP="00C81E3C">
            <w:pPr>
              <w:widowControl w:val="0"/>
              <w:autoSpaceDE w:val="0"/>
              <w:autoSpaceDN w:val="0"/>
              <w:adjustRightInd w:val="0"/>
              <w:spacing w:after="0" w:line="240" w:lineRule="auto"/>
              <w:jc w:val="both"/>
              <w:rPr>
                <w:rFonts w:ascii="Century Schoolbook" w:hAnsi="Century Schoolbook"/>
                <w:b/>
                <w:bCs/>
                <w:color w:val="000000"/>
              </w:rPr>
            </w:pPr>
          </w:p>
        </w:tc>
      </w:tr>
      <w:tr w:rsidR="00B962B5" w:rsidRPr="00FC4604" w:rsidTr="00933B78">
        <w:tc>
          <w:tcPr>
            <w:tcW w:w="2093" w:type="dxa"/>
          </w:tcPr>
          <w:p w:rsidR="008044D4" w:rsidRPr="00FC4604" w:rsidRDefault="008044D4" w:rsidP="00C81E3C">
            <w:pPr>
              <w:autoSpaceDE w:val="0"/>
              <w:autoSpaceDN w:val="0"/>
              <w:adjustRightInd w:val="0"/>
              <w:spacing w:after="0" w:line="240" w:lineRule="auto"/>
              <w:jc w:val="both"/>
              <w:rPr>
                <w:rFonts w:ascii="Century Schoolbook" w:hAnsi="Century Schoolbook"/>
                <w:b/>
                <w:bCs/>
                <w:color w:val="000000"/>
              </w:rPr>
            </w:pPr>
          </w:p>
          <w:p w:rsidR="008044D4" w:rsidRPr="00FC4604" w:rsidRDefault="008044D4" w:rsidP="00C81E3C">
            <w:pPr>
              <w:autoSpaceDE w:val="0"/>
              <w:autoSpaceDN w:val="0"/>
              <w:adjustRightInd w:val="0"/>
              <w:spacing w:after="0" w:line="240" w:lineRule="auto"/>
              <w:jc w:val="both"/>
              <w:rPr>
                <w:rFonts w:ascii="Century Schoolbook" w:hAnsi="Century Schoolbook"/>
                <w:b/>
                <w:bCs/>
                <w:color w:val="000000"/>
              </w:rPr>
            </w:pPr>
          </w:p>
          <w:p w:rsidR="00B962B5" w:rsidRPr="00FC4604" w:rsidRDefault="00B962B5" w:rsidP="00C81E3C">
            <w:pPr>
              <w:autoSpaceDE w:val="0"/>
              <w:autoSpaceDN w:val="0"/>
              <w:adjustRightInd w:val="0"/>
              <w:spacing w:after="0" w:line="240" w:lineRule="auto"/>
              <w:jc w:val="both"/>
              <w:rPr>
                <w:rFonts w:ascii="Century Schoolbook" w:hAnsi="Century Schoolbook"/>
                <w:b/>
                <w:bCs/>
                <w:color w:val="000000"/>
              </w:rPr>
            </w:pPr>
            <w:r w:rsidRPr="00FC4604">
              <w:rPr>
                <w:rFonts w:ascii="Century Schoolbook" w:hAnsi="Century Schoolbook"/>
                <w:b/>
                <w:bCs/>
                <w:color w:val="000000"/>
              </w:rPr>
              <w:t>Application</w:t>
            </w:r>
          </w:p>
          <w:p w:rsidR="00954F3D" w:rsidRPr="00FC4604" w:rsidRDefault="00954F3D" w:rsidP="00C81E3C">
            <w:pPr>
              <w:autoSpaceDE w:val="0"/>
              <w:autoSpaceDN w:val="0"/>
              <w:adjustRightInd w:val="0"/>
              <w:spacing w:after="0" w:line="240" w:lineRule="auto"/>
              <w:jc w:val="both"/>
              <w:rPr>
                <w:rFonts w:ascii="Century Schoolbook" w:hAnsi="Century Schoolbook"/>
                <w:b/>
                <w:bCs/>
                <w:color w:val="000000"/>
              </w:rPr>
            </w:pPr>
          </w:p>
          <w:p w:rsidR="00B962B5" w:rsidRPr="00FC4604" w:rsidRDefault="00B962B5" w:rsidP="00C81E3C">
            <w:pPr>
              <w:autoSpaceDE w:val="0"/>
              <w:autoSpaceDN w:val="0"/>
              <w:adjustRightInd w:val="0"/>
              <w:spacing w:after="0" w:line="240" w:lineRule="auto"/>
              <w:jc w:val="both"/>
              <w:rPr>
                <w:rFonts w:ascii="Century Schoolbook" w:hAnsi="Century Schoolbook"/>
                <w:b/>
                <w:bCs/>
                <w:color w:val="000000"/>
              </w:rPr>
            </w:pPr>
          </w:p>
        </w:tc>
        <w:tc>
          <w:tcPr>
            <w:tcW w:w="3118" w:type="dxa"/>
          </w:tcPr>
          <w:p w:rsidR="008044D4" w:rsidRPr="00FC4604" w:rsidRDefault="008044D4" w:rsidP="00C81E3C">
            <w:pPr>
              <w:autoSpaceDE w:val="0"/>
              <w:autoSpaceDN w:val="0"/>
              <w:adjustRightInd w:val="0"/>
              <w:spacing w:after="0" w:line="240" w:lineRule="auto"/>
              <w:jc w:val="both"/>
              <w:rPr>
                <w:rFonts w:ascii="Century Schoolbook" w:hAnsi="Century Schoolbook"/>
                <w:color w:val="000000"/>
              </w:rPr>
            </w:pPr>
          </w:p>
          <w:p w:rsidR="008044D4" w:rsidRPr="00FC4604" w:rsidRDefault="008044D4" w:rsidP="00C81E3C">
            <w:pPr>
              <w:autoSpaceDE w:val="0"/>
              <w:autoSpaceDN w:val="0"/>
              <w:adjustRightInd w:val="0"/>
              <w:spacing w:after="0" w:line="240" w:lineRule="auto"/>
              <w:jc w:val="both"/>
              <w:rPr>
                <w:rFonts w:ascii="Century Schoolbook" w:hAnsi="Century Schoolbook"/>
                <w:color w:val="000000"/>
              </w:rPr>
            </w:pPr>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 xml:space="preserve">Propose aux étudiants de confronter les connaissances théoriques à des cas pratiques simples et de résoudre des problèmes. </w:t>
            </w:r>
          </w:p>
        </w:tc>
        <w:tc>
          <w:tcPr>
            <w:tcW w:w="5529" w:type="dxa"/>
          </w:tcPr>
          <w:p w:rsidR="008044D4" w:rsidRPr="00FC4604" w:rsidRDefault="008044D4" w:rsidP="00C81E3C">
            <w:pPr>
              <w:autoSpaceDE w:val="0"/>
              <w:autoSpaceDN w:val="0"/>
              <w:adjustRightInd w:val="0"/>
              <w:spacing w:after="0" w:line="240" w:lineRule="auto"/>
              <w:jc w:val="both"/>
              <w:rPr>
                <w:rFonts w:ascii="Century Schoolbook" w:hAnsi="Century Schoolbook"/>
                <w:color w:val="000000"/>
              </w:rPr>
            </w:pPr>
          </w:p>
          <w:p w:rsidR="008044D4" w:rsidRPr="00FC4604" w:rsidRDefault="008044D4" w:rsidP="00C81E3C">
            <w:pPr>
              <w:autoSpaceDE w:val="0"/>
              <w:autoSpaceDN w:val="0"/>
              <w:adjustRightInd w:val="0"/>
              <w:spacing w:after="0" w:line="240" w:lineRule="auto"/>
              <w:jc w:val="both"/>
              <w:rPr>
                <w:rFonts w:ascii="Century Schoolbook" w:hAnsi="Century Schoolbook"/>
                <w:color w:val="000000"/>
              </w:rPr>
            </w:pPr>
          </w:p>
          <w:p w:rsidR="00954F3D"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 xml:space="preserve">Etre capable de mobiliser des connaissances ou de principes pour résoudre un problème donné. Il s’agit de pouvoir 1) </w:t>
            </w:r>
            <w:r w:rsidRPr="00FC4604">
              <w:rPr>
                <w:rFonts w:ascii="Century Schoolbook" w:hAnsi="Century Schoolbook"/>
                <w:b/>
                <w:color w:val="000000"/>
              </w:rPr>
              <w:t xml:space="preserve">identifier </w:t>
            </w:r>
            <w:r w:rsidRPr="00FC4604">
              <w:rPr>
                <w:rFonts w:ascii="Century Schoolbook" w:hAnsi="Century Schoolbook"/>
                <w:color w:val="000000"/>
              </w:rPr>
              <w:t xml:space="preserve">les éléments du problème, </w:t>
            </w:r>
          </w:p>
          <w:p w:rsidR="00954F3D"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 xml:space="preserve">2) </w:t>
            </w:r>
            <w:r w:rsidRPr="00FC4604">
              <w:rPr>
                <w:rFonts w:ascii="Century Schoolbook" w:hAnsi="Century Schoolbook"/>
                <w:b/>
                <w:color w:val="000000"/>
              </w:rPr>
              <w:t>rapporter ces éléments à un modèle connu</w:t>
            </w:r>
            <w:r w:rsidRPr="00FC4604">
              <w:rPr>
                <w:rFonts w:ascii="Century Schoolbook" w:hAnsi="Century Schoolbook"/>
                <w:color w:val="000000"/>
              </w:rPr>
              <w:t xml:space="preserve">, </w:t>
            </w:r>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 xml:space="preserve">3) </w:t>
            </w:r>
            <w:r w:rsidRPr="00FC4604">
              <w:rPr>
                <w:rFonts w:ascii="Century Schoolbook" w:hAnsi="Century Schoolbook"/>
                <w:b/>
                <w:color w:val="000000"/>
              </w:rPr>
              <w:t>choisir une méthode pour résoudre le problème</w:t>
            </w:r>
            <w:r w:rsidRPr="00FC4604">
              <w:rPr>
                <w:rFonts w:ascii="Century Schoolbook" w:hAnsi="Century Schoolbook"/>
                <w:color w:val="000000"/>
              </w:rPr>
              <w:t xml:space="preserve"> et 4) </w:t>
            </w:r>
            <w:r w:rsidRPr="00FC4604">
              <w:rPr>
                <w:rFonts w:ascii="Century Schoolbook" w:hAnsi="Century Schoolbook"/>
                <w:b/>
                <w:color w:val="000000"/>
              </w:rPr>
              <w:t>résoudre le problème.</w:t>
            </w:r>
          </w:p>
          <w:p w:rsidR="00B962B5" w:rsidRPr="00FC4604" w:rsidRDefault="00B962B5" w:rsidP="00C81E3C">
            <w:pPr>
              <w:widowControl w:val="0"/>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 xml:space="preserve">Les objectifs de l’application comportent la signification d’un </w:t>
            </w:r>
            <w:r w:rsidRPr="00FC4604">
              <w:rPr>
                <w:rFonts w:ascii="Century Schoolbook" w:hAnsi="Century Schoolbook"/>
                <w:b/>
                <w:color w:val="000000"/>
              </w:rPr>
              <w:t>transfert d’apprentissage.</w:t>
            </w:r>
          </w:p>
        </w:tc>
        <w:tc>
          <w:tcPr>
            <w:tcW w:w="3118" w:type="dxa"/>
          </w:tcPr>
          <w:p w:rsidR="008044D4" w:rsidRPr="00FC4604" w:rsidRDefault="008044D4" w:rsidP="00C81E3C">
            <w:pPr>
              <w:autoSpaceDE w:val="0"/>
              <w:autoSpaceDN w:val="0"/>
              <w:adjustRightInd w:val="0"/>
              <w:spacing w:after="0" w:line="240" w:lineRule="auto"/>
              <w:jc w:val="both"/>
              <w:rPr>
                <w:rFonts w:ascii="Century Schoolbook" w:hAnsi="Century Schoolbook"/>
                <w:color w:val="000000"/>
              </w:rPr>
            </w:pPr>
          </w:p>
          <w:p w:rsidR="008044D4" w:rsidRPr="00FC4604" w:rsidRDefault="008044D4" w:rsidP="00C81E3C">
            <w:pPr>
              <w:autoSpaceDE w:val="0"/>
              <w:autoSpaceDN w:val="0"/>
              <w:adjustRightInd w:val="0"/>
              <w:spacing w:after="0" w:line="240" w:lineRule="auto"/>
              <w:jc w:val="both"/>
              <w:rPr>
                <w:rFonts w:ascii="Century Schoolbook" w:hAnsi="Century Schoolbook"/>
                <w:color w:val="000000"/>
              </w:rPr>
            </w:pPr>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Prédire – Choisir - Construire –</w:t>
            </w:r>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Sélectionner – Trouver - Calculer –</w:t>
            </w:r>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Affirmer – Montrer - Utiliser –</w:t>
            </w:r>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Expliquer –Démontrer – accomplir</w:t>
            </w:r>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p>
        </w:tc>
      </w:tr>
      <w:tr w:rsidR="00B962B5" w:rsidRPr="00FC4604" w:rsidTr="00933B78">
        <w:tc>
          <w:tcPr>
            <w:tcW w:w="2093" w:type="dxa"/>
          </w:tcPr>
          <w:p w:rsidR="00B962B5" w:rsidRPr="00FC4604" w:rsidRDefault="00B962B5" w:rsidP="00C81E3C">
            <w:pPr>
              <w:autoSpaceDE w:val="0"/>
              <w:autoSpaceDN w:val="0"/>
              <w:adjustRightInd w:val="0"/>
              <w:spacing w:after="0" w:line="240" w:lineRule="auto"/>
              <w:jc w:val="both"/>
              <w:rPr>
                <w:rFonts w:ascii="Century Schoolbook" w:hAnsi="Century Schoolbook"/>
                <w:b/>
                <w:bCs/>
                <w:color w:val="000000"/>
              </w:rPr>
            </w:pPr>
            <w:r w:rsidRPr="00FC4604">
              <w:rPr>
                <w:rFonts w:ascii="Century Schoolbook" w:hAnsi="Century Schoolbook"/>
                <w:b/>
                <w:bCs/>
                <w:color w:val="000000"/>
              </w:rPr>
              <w:t>Analyse</w:t>
            </w:r>
          </w:p>
          <w:p w:rsidR="00B962B5" w:rsidRPr="00FC4604" w:rsidRDefault="00B962B5" w:rsidP="00C81E3C">
            <w:pPr>
              <w:autoSpaceDE w:val="0"/>
              <w:autoSpaceDN w:val="0"/>
              <w:adjustRightInd w:val="0"/>
              <w:spacing w:after="0" w:line="240" w:lineRule="auto"/>
              <w:jc w:val="both"/>
              <w:rPr>
                <w:rFonts w:ascii="Century Schoolbook" w:hAnsi="Century Schoolbook"/>
                <w:b/>
                <w:bCs/>
                <w:color w:val="000000"/>
              </w:rPr>
            </w:pPr>
          </w:p>
        </w:tc>
        <w:tc>
          <w:tcPr>
            <w:tcW w:w="3118" w:type="dxa"/>
          </w:tcPr>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Stimule des raisonnements de type hypothético-déductifs par décomposition d’une situation problématique pour en identifier les parties constituantes et les rapports entre ces parties.</w:t>
            </w:r>
          </w:p>
        </w:tc>
        <w:tc>
          <w:tcPr>
            <w:tcW w:w="5529" w:type="dxa"/>
          </w:tcPr>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Etre capable d’identifier les éléments, les relations et les principes d’organisation d’une situation.</w:t>
            </w:r>
          </w:p>
          <w:p w:rsidR="00B962B5" w:rsidRPr="00FC4604" w:rsidRDefault="00B962B5" w:rsidP="00C81E3C">
            <w:pPr>
              <w:widowControl w:val="0"/>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L’analyse peut se situer à trois niveaux :</w:t>
            </w:r>
          </w:p>
          <w:p w:rsidR="00B962B5" w:rsidRPr="00FC4604" w:rsidRDefault="00B962B5" w:rsidP="00C81E3C">
            <w:pPr>
              <w:widowControl w:val="0"/>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 xml:space="preserve">L’étudiant doit </w:t>
            </w:r>
            <w:r w:rsidRPr="00FC4604">
              <w:rPr>
                <w:rFonts w:ascii="Century Schoolbook" w:hAnsi="Century Schoolbook"/>
                <w:b/>
                <w:color w:val="000000"/>
              </w:rPr>
              <w:t xml:space="preserve">décomposer </w:t>
            </w:r>
            <w:r w:rsidRPr="00FC4604">
              <w:rPr>
                <w:rFonts w:ascii="Century Schoolbook" w:hAnsi="Century Schoolbook"/>
                <w:color w:val="000000"/>
              </w:rPr>
              <w:t xml:space="preserve">le matériel en ses parties constituantes, pour </w:t>
            </w:r>
            <w:r w:rsidRPr="00FC4604">
              <w:rPr>
                <w:rFonts w:ascii="Century Schoolbook" w:hAnsi="Century Schoolbook"/>
                <w:b/>
                <w:color w:val="000000"/>
              </w:rPr>
              <w:t>identifier, classer</w:t>
            </w:r>
            <w:r w:rsidRPr="00FC4604">
              <w:rPr>
                <w:rFonts w:ascii="Century Schoolbook" w:hAnsi="Century Schoolbook"/>
                <w:color w:val="000000"/>
              </w:rPr>
              <w:t xml:space="preserve"> les éléments de la communication.</w:t>
            </w:r>
          </w:p>
          <w:p w:rsidR="00B962B5" w:rsidRPr="00FC4604" w:rsidRDefault="00B962B5" w:rsidP="00C81E3C">
            <w:pPr>
              <w:widowControl w:val="0"/>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 xml:space="preserve">Il doit </w:t>
            </w:r>
            <w:r w:rsidRPr="00FC4604">
              <w:rPr>
                <w:rFonts w:ascii="Century Schoolbook" w:hAnsi="Century Schoolbook"/>
                <w:b/>
                <w:color w:val="000000"/>
              </w:rPr>
              <w:t xml:space="preserve">faire ressortir les relations </w:t>
            </w:r>
            <w:r w:rsidRPr="00FC4604">
              <w:rPr>
                <w:rFonts w:ascii="Century Schoolbook" w:hAnsi="Century Schoolbook"/>
                <w:color w:val="000000"/>
              </w:rPr>
              <w:t xml:space="preserve">entre les éléments, déterminer </w:t>
            </w:r>
            <w:r w:rsidRPr="00FC4604">
              <w:rPr>
                <w:rFonts w:ascii="Century Schoolbook" w:hAnsi="Century Schoolbook"/>
                <w:b/>
                <w:color w:val="000000"/>
              </w:rPr>
              <w:t>leurs rapports et leur interaction</w:t>
            </w:r>
            <w:r w:rsidR="00954F3D" w:rsidRPr="00FC4604">
              <w:rPr>
                <w:rFonts w:ascii="Century Schoolbook" w:hAnsi="Century Schoolbook"/>
                <w:b/>
                <w:color w:val="000000"/>
              </w:rPr>
              <w:t>.</w:t>
            </w:r>
          </w:p>
          <w:p w:rsidR="00B962B5" w:rsidRPr="00FC4604" w:rsidRDefault="00B962B5" w:rsidP="00C81E3C">
            <w:pPr>
              <w:widowControl w:val="0"/>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 xml:space="preserve">Et il doit </w:t>
            </w:r>
            <w:r w:rsidRPr="00FC4604">
              <w:rPr>
                <w:rFonts w:ascii="Century Schoolbook" w:hAnsi="Century Schoolbook"/>
                <w:b/>
                <w:color w:val="000000"/>
              </w:rPr>
              <w:t>reconnaître les principes d’organisation, de disposition et de structure</w:t>
            </w:r>
            <w:r w:rsidRPr="00FC4604">
              <w:rPr>
                <w:rFonts w:ascii="Century Schoolbook" w:hAnsi="Century Schoolbook"/>
                <w:color w:val="000000"/>
              </w:rPr>
              <w:t xml:space="preserve"> qui donnent son unité à l’ensemble de la communication. </w:t>
            </w:r>
          </w:p>
        </w:tc>
        <w:tc>
          <w:tcPr>
            <w:tcW w:w="3118" w:type="dxa"/>
          </w:tcPr>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Analyser – Choisir – Justifier –</w:t>
            </w:r>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Identifier – Séparer – Résoudre –</w:t>
            </w:r>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Conclure – Comparer – Démontrer</w:t>
            </w:r>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 Différencier – Opposer - Critiquer</w:t>
            </w:r>
          </w:p>
        </w:tc>
      </w:tr>
      <w:tr w:rsidR="00B962B5" w:rsidRPr="00FC4604" w:rsidTr="00933B78">
        <w:tc>
          <w:tcPr>
            <w:tcW w:w="2093" w:type="dxa"/>
          </w:tcPr>
          <w:p w:rsidR="00B962B5" w:rsidRPr="00FC4604" w:rsidRDefault="00B962B5" w:rsidP="00C81E3C">
            <w:pPr>
              <w:autoSpaceDE w:val="0"/>
              <w:autoSpaceDN w:val="0"/>
              <w:adjustRightInd w:val="0"/>
              <w:spacing w:after="0" w:line="240" w:lineRule="auto"/>
              <w:jc w:val="both"/>
              <w:rPr>
                <w:rFonts w:ascii="Century Schoolbook" w:hAnsi="Century Schoolbook"/>
                <w:b/>
                <w:bCs/>
                <w:color w:val="000000"/>
              </w:rPr>
            </w:pPr>
            <w:r w:rsidRPr="00FC4604">
              <w:rPr>
                <w:rFonts w:ascii="Century Schoolbook" w:hAnsi="Century Schoolbook"/>
                <w:b/>
                <w:bCs/>
                <w:color w:val="000000"/>
              </w:rPr>
              <w:t>Synthèse</w:t>
            </w:r>
          </w:p>
          <w:p w:rsidR="00B962B5" w:rsidRPr="00FC4604" w:rsidRDefault="00B962B5" w:rsidP="00C81E3C">
            <w:pPr>
              <w:autoSpaceDE w:val="0"/>
              <w:autoSpaceDN w:val="0"/>
              <w:adjustRightInd w:val="0"/>
              <w:spacing w:after="0" w:line="240" w:lineRule="auto"/>
              <w:jc w:val="both"/>
              <w:rPr>
                <w:rFonts w:ascii="Century Schoolbook" w:hAnsi="Century Schoolbook"/>
                <w:b/>
                <w:bCs/>
                <w:color w:val="000000"/>
              </w:rPr>
            </w:pPr>
          </w:p>
        </w:tc>
        <w:tc>
          <w:tcPr>
            <w:tcW w:w="3118" w:type="dxa"/>
          </w:tcPr>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 xml:space="preserve">Cherche à développer l’expression personnelle et l’indépendance de pensée des étudiants. La synthèse n’est pas un simple résumé : elle exige des activités intellectuelles complexes comme la création ou l’agencement de plusieurs éléments en une structure </w:t>
            </w:r>
            <w:r w:rsidRPr="00FC4604">
              <w:rPr>
                <w:rFonts w:ascii="Century Schoolbook" w:hAnsi="Century Schoolbook"/>
                <w:color w:val="000000"/>
              </w:rPr>
              <w:lastRenderedPageBreak/>
              <w:t>nouvelle, personnelle et originale.</w:t>
            </w:r>
          </w:p>
        </w:tc>
        <w:tc>
          <w:tcPr>
            <w:tcW w:w="5529" w:type="dxa"/>
          </w:tcPr>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lastRenderedPageBreak/>
              <w:t xml:space="preserve">Etre capable de produire une </w:t>
            </w:r>
            <w:r w:rsidR="00954F3D" w:rsidRPr="00FC4604">
              <w:rPr>
                <w:rFonts w:ascii="Century Schoolbook" w:hAnsi="Century Schoolbook"/>
                <w:color w:val="000000"/>
              </w:rPr>
              <w:t>œuvre</w:t>
            </w:r>
            <w:r w:rsidRPr="00FC4604">
              <w:rPr>
                <w:rFonts w:ascii="Century Schoolbook" w:hAnsi="Century Schoolbook"/>
                <w:color w:val="000000"/>
              </w:rPr>
              <w:t xml:space="preserve"> personnelle après avoir </w:t>
            </w:r>
            <w:r w:rsidRPr="00FC4604">
              <w:rPr>
                <w:rFonts w:ascii="Century Schoolbook" w:hAnsi="Century Schoolbook"/>
                <w:b/>
                <w:color w:val="000000"/>
              </w:rPr>
              <w:t>conçu un plan</w:t>
            </w:r>
            <w:r w:rsidR="00954F3D" w:rsidRPr="00FC4604">
              <w:rPr>
                <w:rFonts w:ascii="Century Schoolbook" w:hAnsi="Century Schoolbook"/>
                <w:b/>
                <w:color w:val="000000"/>
              </w:rPr>
              <w:t xml:space="preserve"> </w:t>
            </w:r>
            <w:r w:rsidRPr="00FC4604">
              <w:rPr>
                <w:rFonts w:ascii="Century Schoolbook" w:hAnsi="Century Schoolbook"/>
                <w:b/>
                <w:color w:val="000000"/>
              </w:rPr>
              <w:t>d’action</w:t>
            </w:r>
            <w:r w:rsidRPr="00FC4604">
              <w:rPr>
                <w:rFonts w:ascii="Century Schoolbook" w:hAnsi="Century Schoolbook"/>
                <w:color w:val="000000"/>
              </w:rPr>
              <w:t>. Le résultat fourni doit faire apparaître nettement qu’il comporte davantage que les matériaux avec lesquels l’étudiant a commencé sa tâche.</w:t>
            </w:r>
          </w:p>
        </w:tc>
        <w:tc>
          <w:tcPr>
            <w:tcW w:w="3118" w:type="dxa"/>
          </w:tcPr>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Combiner – Commenter – Exposer– Rédiger – Discuter – Connecter –</w:t>
            </w:r>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Résumer – Organiser – Généraliser</w:t>
            </w:r>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 Préciser – Planifier - Concevoir</w:t>
            </w:r>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p>
        </w:tc>
      </w:tr>
      <w:tr w:rsidR="00B962B5" w:rsidRPr="00FC4604" w:rsidTr="00933B78">
        <w:tc>
          <w:tcPr>
            <w:tcW w:w="2093" w:type="dxa"/>
          </w:tcPr>
          <w:p w:rsidR="00F93420" w:rsidRPr="00FC4604" w:rsidRDefault="00F93420" w:rsidP="00C81E3C">
            <w:pPr>
              <w:autoSpaceDE w:val="0"/>
              <w:autoSpaceDN w:val="0"/>
              <w:adjustRightInd w:val="0"/>
              <w:spacing w:after="0" w:line="240" w:lineRule="auto"/>
              <w:jc w:val="both"/>
              <w:rPr>
                <w:rFonts w:ascii="Century Schoolbook" w:hAnsi="Century Schoolbook"/>
                <w:b/>
                <w:bCs/>
                <w:color w:val="000000"/>
              </w:rPr>
            </w:pPr>
          </w:p>
          <w:p w:rsidR="00B962B5" w:rsidRPr="00FC4604" w:rsidRDefault="00B962B5" w:rsidP="00C81E3C">
            <w:pPr>
              <w:autoSpaceDE w:val="0"/>
              <w:autoSpaceDN w:val="0"/>
              <w:adjustRightInd w:val="0"/>
              <w:spacing w:after="0" w:line="240" w:lineRule="auto"/>
              <w:jc w:val="both"/>
              <w:rPr>
                <w:rFonts w:ascii="Century Schoolbook" w:hAnsi="Century Schoolbook"/>
                <w:b/>
                <w:bCs/>
                <w:color w:val="000000"/>
              </w:rPr>
            </w:pPr>
            <w:r w:rsidRPr="00FC4604">
              <w:rPr>
                <w:rFonts w:ascii="Century Schoolbook" w:hAnsi="Century Schoolbook"/>
                <w:b/>
                <w:bCs/>
                <w:color w:val="000000"/>
              </w:rPr>
              <w:t>Evaluation</w:t>
            </w:r>
          </w:p>
          <w:p w:rsidR="00B962B5" w:rsidRPr="00FC4604" w:rsidRDefault="00B962B5" w:rsidP="00C81E3C">
            <w:pPr>
              <w:autoSpaceDE w:val="0"/>
              <w:autoSpaceDN w:val="0"/>
              <w:adjustRightInd w:val="0"/>
              <w:spacing w:after="0" w:line="240" w:lineRule="auto"/>
              <w:jc w:val="both"/>
              <w:rPr>
                <w:rFonts w:ascii="Century Schoolbook" w:hAnsi="Century Schoolbook"/>
                <w:b/>
                <w:bCs/>
                <w:color w:val="000000"/>
              </w:rPr>
            </w:pPr>
          </w:p>
        </w:tc>
        <w:tc>
          <w:tcPr>
            <w:tcW w:w="3118" w:type="dxa"/>
          </w:tcPr>
          <w:p w:rsidR="00F93420" w:rsidRPr="00FC4604" w:rsidRDefault="00F93420" w:rsidP="00C81E3C">
            <w:pPr>
              <w:autoSpaceDE w:val="0"/>
              <w:autoSpaceDN w:val="0"/>
              <w:adjustRightInd w:val="0"/>
              <w:spacing w:after="0" w:line="240" w:lineRule="auto"/>
              <w:jc w:val="both"/>
              <w:rPr>
                <w:rFonts w:ascii="Century Schoolbook" w:hAnsi="Century Schoolbook"/>
                <w:color w:val="000000"/>
              </w:rPr>
            </w:pPr>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Vise à développer le sens critiques des étudiants par rapport aux valeurs de certaines idées et aux travaux réalisés. Elle implique de pouvoir juger de la qualité d’un objet (idées, travaux, situations, méthodes, matériels) soit à partir de critères intrinsèques (propres à la personne qui évalue) soit de critères externes (donnés ou dont on se souvient) en le confrontant à d’autres. L’évaluation amène à développer un sens de l’expertise.</w:t>
            </w:r>
          </w:p>
        </w:tc>
        <w:tc>
          <w:tcPr>
            <w:tcW w:w="5529" w:type="dxa"/>
          </w:tcPr>
          <w:p w:rsidR="00F93420" w:rsidRPr="00FC4604" w:rsidRDefault="00F93420" w:rsidP="00C81E3C">
            <w:pPr>
              <w:autoSpaceDE w:val="0"/>
              <w:autoSpaceDN w:val="0"/>
              <w:adjustRightInd w:val="0"/>
              <w:spacing w:after="0" w:line="240" w:lineRule="auto"/>
              <w:jc w:val="both"/>
              <w:rPr>
                <w:rFonts w:ascii="Century Schoolbook" w:hAnsi="Century Schoolbook"/>
                <w:color w:val="000000"/>
              </w:rPr>
            </w:pPr>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 xml:space="preserve">Etre capable de porter un </w:t>
            </w:r>
            <w:r w:rsidRPr="00FC4604">
              <w:rPr>
                <w:rFonts w:ascii="Century Schoolbook" w:hAnsi="Century Schoolbook"/>
                <w:b/>
                <w:color w:val="000000"/>
              </w:rPr>
              <w:t>jugement critique</w:t>
            </w:r>
            <w:r w:rsidRPr="00FC4604">
              <w:rPr>
                <w:rFonts w:ascii="Century Schoolbook" w:hAnsi="Century Schoolbook"/>
                <w:color w:val="000000"/>
              </w:rPr>
              <w:t xml:space="preserve"> fondé sur des critères internes ou externes.</w:t>
            </w:r>
          </w:p>
          <w:p w:rsidR="00B962B5" w:rsidRPr="00FC4604" w:rsidRDefault="00B962B5" w:rsidP="00C81E3C">
            <w:pPr>
              <w:widowControl w:val="0"/>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 xml:space="preserve">L’évaluation d’une communication se fonde sur des éléments tels que la rigueur logique, la cohérence et d’autres critères internes ou à partir de critères externes </w:t>
            </w:r>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p>
        </w:tc>
        <w:tc>
          <w:tcPr>
            <w:tcW w:w="3118" w:type="dxa"/>
          </w:tcPr>
          <w:p w:rsidR="00F93420" w:rsidRPr="00FC4604" w:rsidRDefault="00F93420" w:rsidP="00C81E3C">
            <w:pPr>
              <w:autoSpaceDE w:val="0"/>
              <w:autoSpaceDN w:val="0"/>
              <w:adjustRightInd w:val="0"/>
              <w:spacing w:after="0" w:line="240" w:lineRule="auto"/>
              <w:jc w:val="both"/>
              <w:rPr>
                <w:rFonts w:ascii="Century Schoolbook" w:hAnsi="Century Schoolbook"/>
                <w:color w:val="000000"/>
              </w:rPr>
            </w:pPr>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Juger – Soutenir – Identifier –</w:t>
            </w:r>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Evaluer – Défendre – Eviter –</w:t>
            </w:r>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Déterminer – Attaquer –</w:t>
            </w:r>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Sélectionner – Reconnaître –</w:t>
            </w:r>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r w:rsidRPr="00FC4604">
              <w:rPr>
                <w:rFonts w:ascii="Century Schoolbook" w:hAnsi="Century Schoolbook"/>
                <w:color w:val="000000"/>
              </w:rPr>
              <w:t>Critiquer - Choisir</w:t>
            </w:r>
          </w:p>
          <w:p w:rsidR="00B962B5" w:rsidRPr="00FC4604" w:rsidRDefault="00B962B5" w:rsidP="00C81E3C">
            <w:pPr>
              <w:autoSpaceDE w:val="0"/>
              <w:autoSpaceDN w:val="0"/>
              <w:adjustRightInd w:val="0"/>
              <w:spacing w:after="0" w:line="240" w:lineRule="auto"/>
              <w:jc w:val="both"/>
              <w:rPr>
                <w:rFonts w:ascii="Century Schoolbook" w:hAnsi="Century Schoolbook"/>
                <w:color w:val="000000"/>
              </w:rPr>
            </w:pPr>
          </w:p>
        </w:tc>
      </w:tr>
    </w:tbl>
    <w:p w:rsidR="00B962B5" w:rsidRPr="00FC4604" w:rsidRDefault="00B962B5" w:rsidP="00C81E3C">
      <w:pPr>
        <w:jc w:val="both"/>
        <w:rPr>
          <w:rFonts w:ascii="Century Schoolbook" w:hAnsi="Century Schoolbook"/>
        </w:rPr>
      </w:pPr>
    </w:p>
    <w:sectPr w:rsidR="00B962B5" w:rsidRPr="00FC4604" w:rsidSect="00B962B5">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9B3" w:rsidRDefault="003D79B3" w:rsidP="00B962B5">
      <w:pPr>
        <w:spacing w:after="0" w:line="240" w:lineRule="auto"/>
      </w:pPr>
      <w:r>
        <w:separator/>
      </w:r>
    </w:p>
  </w:endnote>
  <w:endnote w:type="continuationSeparator" w:id="0">
    <w:p w:rsidR="003D79B3" w:rsidRDefault="003D79B3" w:rsidP="00B96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4736831"/>
      <w:docPartObj>
        <w:docPartGallery w:val="Page Numbers (Bottom of Page)"/>
        <w:docPartUnique/>
      </w:docPartObj>
    </w:sdtPr>
    <w:sdtContent>
      <w:p w:rsidR="00AB2393" w:rsidRPr="000457F0" w:rsidRDefault="00AB2393">
        <w:pPr>
          <w:pStyle w:val="Pieddepage"/>
          <w:jc w:val="center"/>
          <w:rPr>
            <w:sz w:val="18"/>
            <w:szCs w:val="18"/>
          </w:rPr>
        </w:pPr>
        <w:r w:rsidRPr="000457F0">
          <w:rPr>
            <w:sz w:val="18"/>
            <w:szCs w:val="18"/>
          </w:rPr>
          <w:fldChar w:fldCharType="begin"/>
        </w:r>
        <w:r w:rsidRPr="000457F0">
          <w:rPr>
            <w:sz w:val="18"/>
            <w:szCs w:val="18"/>
          </w:rPr>
          <w:instrText xml:space="preserve"> PAGE   \* MERGEFORMAT </w:instrText>
        </w:r>
        <w:r w:rsidRPr="000457F0">
          <w:rPr>
            <w:sz w:val="18"/>
            <w:szCs w:val="18"/>
          </w:rPr>
          <w:fldChar w:fldCharType="separate"/>
        </w:r>
        <w:r w:rsidR="00933B78">
          <w:rPr>
            <w:noProof/>
            <w:sz w:val="18"/>
            <w:szCs w:val="18"/>
          </w:rPr>
          <w:t>4</w:t>
        </w:r>
        <w:r w:rsidRPr="000457F0">
          <w:rPr>
            <w:sz w:val="18"/>
            <w:szCs w:val="18"/>
          </w:rPr>
          <w:fldChar w:fldCharType="end"/>
        </w:r>
      </w:p>
    </w:sdtContent>
  </w:sdt>
  <w:p w:rsidR="00B962B5" w:rsidRDefault="00B962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9B3" w:rsidRDefault="003D79B3" w:rsidP="00B962B5">
      <w:pPr>
        <w:spacing w:after="0" w:line="240" w:lineRule="auto"/>
      </w:pPr>
      <w:r>
        <w:separator/>
      </w:r>
    </w:p>
  </w:footnote>
  <w:footnote w:type="continuationSeparator" w:id="0">
    <w:p w:rsidR="003D79B3" w:rsidRDefault="003D79B3" w:rsidP="00B962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2B5" w:rsidRPr="00FC4604" w:rsidRDefault="00EE776B">
    <w:pPr>
      <w:pStyle w:val="En-tte"/>
      <w:rPr>
        <w:rFonts w:ascii="Century Schoolbook" w:hAnsi="Century Schoolbook"/>
        <w:sz w:val="28"/>
        <w:szCs w:val="28"/>
      </w:rPr>
    </w:pPr>
    <w:r w:rsidRPr="00FC4604">
      <w:rPr>
        <w:rFonts w:ascii="Century Schoolbook" w:hAnsi="Century Schoolbook"/>
        <w:sz w:val="28"/>
        <w:szCs w:val="28"/>
      </w:rPr>
      <w:t>La taxonomie des objectifs pédagogiques de BLOOM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26A30"/>
    <w:multiLevelType w:val="hybridMultilevel"/>
    <w:tmpl w:val="AF5E27DC"/>
    <w:lvl w:ilvl="0" w:tplc="4D787EAA">
      <w:start w:val="13"/>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962B5"/>
    <w:rsid w:val="000457F0"/>
    <w:rsid w:val="00174ECC"/>
    <w:rsid w:val="00192EE3"/>
    <w:rsid w:val="00301A72"/>
    <w:rsid w:val="003420C2"/>
    <w:rsid w:val="003D79B3"/>
    <w:rsid w:val="003F005A"/>
    <w:rsid w:val="00796C6A"/>
    <w:rsid w:val="007E6BED"/>
    <w:rsid w:val="008044D4"/>
    <w:rsid w:val="00933B78"/>
    <w:rsid w:val="00954F3D"/>
    <w:rsid w:val="00AB2393"/>
    <w:rsid w:val="00B746FF"/>
    <w:rsid w:val="00B962B5"/>
    <w:rsid w:val="00C81E3C"/>
    <w:rsid w:val="00CE7CCC"/>
    <w:rsid w:val="00D24005"/>
    <w:rsid w:val="00D3523E"/>
    <w:rsid w:val="00D51A52"/>
    <w:rsid w:val="00EE776B"/>
    <w:rsid w:val="00EF42E6"/>
    <w:rsid w:val="00F22951"/>
    <w:rsid w:val="00F93420"/>
    <w:rsid w:val="00FC46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B5"/>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62B5"/>
    <w:rPr>
      <w:rFonts w:cs="Times New Roman"/>
      <w:color w:val="0000FF"/>
      <w:u w:val="single"/>
    </w:rPr>
  </w:style>
  <w:style w:type="paragraph" w:styleId="Sansinterligne">
    <w:name w:val="No Spacing"/>
    <w:uiPriority w:val="1"/>
    <w:qFormat/>
    <w:rsid w:val="00B962B5"/>
    <w:pPr>
      <w:spacing w:after="0" w:line="240" w:lineRule="auto"/>
    </w:pPr>
    <w:rPr>
      <w:rFonts w:ascii="Calibri" w:eastAsia="Times New Roman" w:hAnsi="Calibri" w:cs="Times New Roman"/>
      <w:lang w:eastAsia="fr-FR"/>
    </w:rPr>
  </w:style>
  <w:style w:type="paragraph" w:styleId="En-tte">
    <w:name w:val="header"/>
    <w:basedOn w:val="Normal"/>
    <w:link w:val="En-tteCar"/>
    <w:uiPriority w:val="99"/>
    <w:semiHidden/>
    <w:unhideWhenUsed/>
    <w:rsid w:val="00B962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962B5"/>
    <w:rPr>
      <w:rFonts w:ascii="Calibri" w:eastAsia="Times New Roman" w:hAnsi="Calibri" w:cs="Times New Roman"/>
      <w:lang w:eastAsia="fr-FR"/>
    </w:rPr>
  </w:style>
  <w:style w:type="paragraph" w:styleId="Pieddepage">
    <w:name w:val="footer"/>
    <w:basedOn w:val="Normal"/>
    <w:link w:val="PieddepageCar"/>
    <w:uiPriority w:val="99"/>
    <w:unhideWhenUsed/>
    <w:rsid w:val="00B962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62B5"/>
    <w:rPr>
      <w:rFonts w:ascii="Calibri" w:eastAsia="Times New Roman" w:hAnsi="Calibri" w:cs="Times New Roman"/>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arning-symetrix.fr/blog/?post/2008/01/21/La-taxonomie-de-Bloom" TargetMode="External"/><Relationship Id="rId3" Type="http://schemas.openxmlformats.org/officeDocument/2006/relationships/settings" Target="settings.xml"/><Relationship Id="rId7" Type="http://schemas.openxmlformats.org/officeDocument/2006/relationships/hyperlink" Target="https://www.mindmeister.com/fr/184403956/la-taxonomie-des-objectifs-p-dagogiq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1099</Words>
  <Characters>6046</Characters>
  <Application>Microsoft Office Word</Application>
  <DocSecurity>0</DocSecurity>
  <Lines>50</Lines>
  <Paragraphs>14</Paragraphs>
  <ScaleCrop>false</ScaleCrop>
  <Company>Lycée Jean Monnet</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Lycée Jean Monnet</dc:creator>
  <cp:keywords/>
  <dc:description/>
  <cp:lastModifiedBy>eflori</cp:lastModifiedBy>
  <cp:revision>14</cp:revision>
  <dcterms:created xsi:type="dcterms:W3CDTF">2013-04-14T08:50:00Z</dcterms:created>
  <dcterms:modified xsi:type="dcterms:W3CDTF">2013-06-09T10:39:00Z</dcterms:modified>
</cp:coreProperties>
</file>